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451961" w:rsidRDefault="00165BF5" w:rsidP="00165BF5">
      <w:pPr>
        <w:pStyle w:val="ad"/>
      </w:pPr>
      <w:r w:rsidRPr="00451961">
        <w:t>НАЦИОНАЛЬНОЕ ОБЪЕДИНЕНИЕ ИЗЫСКАТЕЛЕЙ И ПРОЕКТИРОВЩИКОВ</w:t>
      </w:r>
    </w:p>
    <w:p w:rsidR="00165BF5" w:rsidRPr="0045196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451961" w:rsidRDefault="00165BF5" w:rsidP="00165BF5">
      <w:pPr>
        <w:jc w:val="center"/>
        <w:rPr>
          <w:b/>
          <w:bCs/>
        </w:rPr>
      </w:pPr>
      <w:r w:rsidRPr="00451961">
        <w:rPr>
          <w:bCs/>
        </w:rPr>
        <w:t>Стандарт организации</w:t>
      </w: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45196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45196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45196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45196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45196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EB7C29" w:rsidRPr="00451961" w:rsidRDefault="00382691" w:rsidP="00EB7C29">
      <w:pPr>
        <w:spacing w:line="360" w:lineRule="auto"/>
        <w:jc w:val="center"/>
        <w:rPr>
          <w:b/>
          <w:bCs/>
          <w:caps/>
        </w:rPr>
      </w:pPr>
      <w:r w:rsidRPr="00451961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  <w:r w:rsidR="002F30CD" w:rsidRPr="00451961">
        <w:rPr>
          <w:b/>
          <w:caps/>
        </w:rPr>
        <w:t>систем</w:t>
      </w:r>
      <w:r w:rsidRPr="00451961">
        <w:rPr>
          <w:b/>
          <w:caps/>
        </w:rPr>
        <w:t>Ы</w:t>
      </w:r>
      <w:r w:rsidR="002F30CD" w:rsidRPr="00451961">
        <w:rPr>
          <w:b/>
          <w:caps/>
        </w:rPr>
        <w:t xml:space="preserve"> </w:t>
      </w:r>
      <w:r w:rsidR="00EB7C29" w:rsidRPr="00451961">
        <w:rPr>
          <w:b/>
          <w:bCs/>
          <w:caps/>
        </w:rPr>
        <w:t>электроснабжения объектов капитального строительства</w:t>
      </w:r>
    </w:p>
    <w:p w:rsidR="002F30CD" w:rsidRPr="00451961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451961" w:rsidRDefault="00165BF5" w:rsidP="00165BF5">
      <w:pPr>
        <w:spacing w:line="360" w:lineRule="auto"/>
        <w:jc w:val="center"/>
        <w:rPr>
          <w:b/>
          <w:bCs/>
        </w:rPr>
      </w:pPr>
      <w:r w:rsidRPr="00451961">
        <w:rPr>
          <w:b/>
          <w:bCs/>
        </w:rPr>
        <w:t>СТО НОПРИЗ П-001-20__</w:t>
      </w:r>
    </w:p>
    <w:p w:rsidR="00165BF5" w:rsidRPr="0045196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451961" w:rsidRDefault="00165BF5" w:rsidP="00165BF5">
      <w:pPr>
        <w:spacing w:line="360" w:lineRule="auto"/>
        <w:jc w:val="center"/>
      </w:pPr>
      <w:r w:rsidRPr="00451961">
        <w:t>Первая редакция</w:t>
      </w: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/>
    <w:p w:rsidR="00165BF5" w:rsidRPr="00451961" w:rsidRDefault="00165BF5" w:rsidP="00165BF5">
      <w:pPr>
        <w:pStyle w:val="ad"/>
        <w:spacing w:line="240" w:lineRule="auto"/>
      </w:pPr>
    </w:p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/>
    <w:p w:rsidR="00165BF5" w:rsidRPr="0045196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45196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45196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451961" w:rsidRDefault="00165BF5" w:rsidP="00165BF5">
      <w:pPr>
        <w:jc w:val="center"/>
      </w:pPr>
    </w:p>
    <w:p w:rsidR="00165BF5" w:rsidRPr="0045196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451961">
        <w:t>Москва 2019</w:t>
      </w:r>
    </w:p>
    <w:p w:rsidR="00165BF5" w:rsidRPr="0045196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45196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451961" w:rsidRDefault="00165BF5" w:rsidP="00165BF5">
      <w:pPr>
        <w:spacing w:line="360" w:lineRule="auto"/>
        <w:jc w:val="center"/>
        <w:rPr>
          <w:b/>
          <w:sz w:val="32"/>
        </w:rPr>
      </w:pPr>
      <w:r w:rsidRPr="00451961">
        <w:rPr>
          <w:b/>
          <w:sz w:val="32"/>
        </w:rPr>
        <w:lastRenderedPageBreak/>
        <w:t>Предисловие</w:t>
      </w:r>
    </w:p>
    <w:p w:rsidR="00165BF5" w:rsidRPr="0045196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451961" w:rsidRDefault="00EA71B3" w:rsidP="00EA71B3">
            <w:pPr>
              <w:spacing w:line="360" w:lineRule="auto"/>
            </w:pPr>
            <w:r w:rsidRPr="00451961">
              <w:t xml:space="preserve">Обществом с ограниченной ответственностью «Национальный образовательный центр» </w:t>
            </w: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spacing w:line="360" w:lineRule="auto"/>
            </w:pP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451961" w:rsidRDefault="008319AE" w:rsidP="008319AE">
            <w:pPr>
              <w:spacing w:line="360" w:lineRule="auto"/>
            </w:pPr>
            <w:r w:rsidRPr="00451961">
              <w:t>Комитетом по конструктивным, инженерным и технологическим системам</w:t>
            </w:r>
            <w:r w:rsidR="00165BF5" w:rsidRPr="00451961">
              <w:t xml:space="preserve"> Национального объединения изыскателей и проектировщиков</w:t>
            </w: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spacing w:line="360" w:lineRule="auto"/>
            </w:pP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45196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45196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45196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451961" w:rsidRPr="00451961" w:rsidTr="006D0742">
        <w:tc>
          <w:tcPr>
            <w:tcW w:w="567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45196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96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spacing w:line="360" w:lineRule="auto"/>
      </w:pPr>
    </w:p>
    <w:p w:rsidR="00165BF5" w:rsidRPr="00451961" w:rsidRDefault="00165BF5" w:rsidP="00165BF5">
      <w:pPr>
        <w:pStyle w:val="a9"/>
        <w:jc w:val="right"/>
        <w:rPr>
          <w:sz w:val="28"/>
          <w:szCs w:val="28"/>
        </w:rPr>
      </w:pPr>
      <w:r w:rsidRPr="0045196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45196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rPr>
          <w:szCs w:val="28"/>
        </w:rPr>
      </w:pPr>
    </w:p>
    <w:p w:rsidR="00165BF5" w:rsidRPr="0045196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45196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451961" w:rsidRDefault="00165BF5" w:rsidP="00165BF5">
      <w:pPr>
        <w:jc w:val="center"/>
        <w:rPr>
          <w:i/>
          <w:sz w:val="24"/>
          <w:szCs w:val="24"/>
        </w:rPr>
      </w:pPr>
      <w:r w:rsidRPr="0045196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451961" w:rsidRDefault="00165BF5" w:rsidP="00165BF5">
      <w:pPr>
        <w:spacing w:line="360" w:lineRule="auto"/>
        <w:jc w:val="center"/>
        <w:rPr>
          <w:b/>
        </w:rPr>
      </w:pPr>
      <w:r w:rsidRPr="00451961">
        <w:rPr>
          <w:i/>
          <w:sz w:val="24"/>
          <w:szCs w:val="24"/>
        </w:rPr>
        <w:br w:type="column"/>
      </w:r>
      <w:r w:rsidRPr="00451961">
        <w:rPr>
          <w:b/>
          <w:sz w:val="32"/>
        </w:rPr>
        <w:lastRenderedPageBreak/>
        <w:t>Содержание</w:t>
      </w:r>
    </w:p>
    <w:p w:rsidR="006C5F30" w:rsidRPr="0045196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306"/>
        <w:gridCol w:w="457"/>
      </w:tblGrid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Введение.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1.</w:t>
            </w: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Область применения…………………………………………………1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2.</w:t>
            </w: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Нормативные ссылки…………………………………………………1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3.</w:t>
            </w:r>
          </w:p>
        </w:tc>
        <w:tc>
          <w:tcPr>
            <w:tcW w:w="8306" w:type="dxa"/>
          </w:tcPr>
          <w:p w:rsidR="00B567AF" w:rsidRPr="00451961" w:rsidRDefault="00B567AF" w:rsidP="00131CD9">
            <w:pPr>
              <w:spacing w:line="360" w:lineRule="auto"/>
              <w:jc w:val="both"/>
              <w:rPr>
                <w:lang w:val="en-US"/>
              </w:rPr>
            </w:pPr>
            <w:r w:rsidRPr="00451961">
              <w:t>Термины и определения</w:t>
            </w:r>
            <w:r w:rsidR="00DC303D" w:rsidRPr="00451961">
              <w:t>………………………………………………</w:t>
            </w:r>
            <w:r w:rsidR="00DC303D" w:rsidRPr="00451961">
              <w:rPr>
                <w:lang w:val="en-US"/>
              </w:rPr>
              <w:t>3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4.</w:t>
            </w:r>
          </w:p>
        </w:tc>
        <w:tc>
          <w:tcPr>
            <w:tcW w:w="8306" w:type="dxa"/>
          </w:tcPr>
          <w:p w:rsidR="00B567AF" w:rsidRPr="00451961" w:rsidRDefault="00B567AF" w:rsidP="00A4290B">
            <w:pPr>
              <w:tabs>
                <w:tab w:val="left" w:pos="381"/>
              </w:tabs>
              <w:spacing w:line="360" w:lineRule="auto"/>
              <w:jc w:val="both"/>
            </w:pPr>
            <w:r w:rsidRPr="00451961">
              <w:t>Общие положения по подготовке проектной документации систем электроснабжения объектов</w:t>
            </w:r>
            <w:r w:rsidR="00DC303D" w:rsidRPr="00451961">
              <w:t xml:space="preserve"> капитального строительства…………</w:t>
            </w:r>
            <w:r w:rsidR="00A4290B">
              <w:t>5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  <w:r w:rsidRPr="00451961">
              <w:t>5.</w:t>
            </w:r>
          </w:p>
        </w:tc>
        <w:tc>
          <w:tcPr>
            <w:tcW w:w="8306" w:type="dxa"/>
          </w:tcPr>
          <w:p w:rsidR="00B567AF" w:rsidRPr="00451961" w:rsidRDefault="00837963" w:rsidP="00131CD9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</w:pPr>
            <w:r w:rsidRPr="00F04FF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качества  работ по подготовке проектной документации, учет и хранение комплекта документации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………………………….</w:t>
            </w:r>
            <w:r w:rsidR="006B3DA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  <w:tr w:rsidR="00451961" w:rsidRPr="00451961" w:rsidTr="006B3DAC">
        <w:tc>
          <w:tcPr>
            <w:tcW w:w="524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  <w:tc>
          <w:tcPr>
            <w:tcW w:w="8306" w:type="dxa"/>
          </w:tcPr>
          <w:p w:rsidR="00B567AF" w:rsidRPr="00451961" w:rsidRDefault="00837963" w:rsidP="00131CD9">
            <w:pPr>
              <w:spacing w:line="360" w:lineRule="auto"/>
              <w:jc w:val="both"/>
            </w:pPr>
            <w:r>
              <w:t>Библиография………………………………………………………..</w:t>
            </w:r>
            <w:r w:rsidR="006B3DAC">
              <w:t>8</w:t>
            </w:r>
          </w:p>
        </w:tc>
        <w:tc>
          <w:tcPr>
            <w:tcW w:w="457" w:type="dxa"/>
          </w:tcPr>
          <w:p w:rsidR="00B567AF" w:rsidRPr="00451961" w:rsidRDefault="00B567AF" w:rsidP="00131CD9">
            <w:pPr>
              <w:spacing w:line="360" w:lineRule="auto"/>
              <w:jc w:val="both"/>
            </w:pPr>
          </w:p>
        </w:tc>
      </w:tr>
    </w:tbl>
    <w:p w:rsidR="006C5F30" w:rsidRPr="00451961" w:rsidRDefault="006C5F30" w:rsidP="00724F20">
      <w:pPr>
        <w:spacing w:line="360" w:lineRule="auto"/>
        <w:jc w:val="both"/>
      </w:pPr>
    </w:p>
    <w:p w:rsidR="006C5F30" w:rsidRPr="00451961" w:rsidRDefault="006C5F30" w:rsidP="00724F20">
      <w:pPr>
        <w:spacing w:line="360" w:lineRule="auto"/>
        <w:jc w:val="both"/>
      </w:pPr>
      <w:r w:rsidRPr="00451961">
        <w:br w:type="page"/>
      </w:r>
    </w:p>
    <w:p w:rsidR="00D11C6E" w:rsidRPr="00451961" w:rsidRDefault="00165BF5" w:rsidP="00A96379">
      <w:pPr>
        <w:spacing w:line="360" w:lineRule="auto"/>
        <w:jc w:val="center"/>
        <w:rPr>
          <w:b/>
          <w:sz w:val="32"/>
        </w:rPr>
      </w:pPr>
      <w:r w:rsidRPr="00451961">
        <w:rPr>
          <w:b/>
          <w:sz w:val="32"/>
        </w:rPr>
        <w:lastRenderedPageBreak/>
        <w:t>Введение</w:t>
      </w:r>
    </w:p>
    <w:p w:rsidR="00165BF5" w:rsidRPr="00451961" w:rsidRDefault="00165BF5" w:rsidP="00A96379">
      <w:pPr>
        <w:spacing w:line="360" w:lineRule="auto"/>
        <w:jc w:val="center"/>
        <w:rPr>
          <w:b/>
          <w:sz w:val="32"/>
        </w:rPr>
      </w:pPr>
    </w:p>
    <w:p w:rsidR="00042911" w:rsidRPr="00675C35" w:rsidRDefault="00042911" w:rsidP="00042911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451961" w:rsidRDefault="008319AE" w:rsidP="00A96379">
      <w:pPr>
        <w:spacing w:line="360" w:lineRule="auto"/>
        <w:jc w:val="both"/>
        <w:rPr>
          <w:b/>
        </w:rPr>
      </w:pPr>
    </w:p>
    <w:p w:rsidR="008319AE" w:rsidRPr="00451961" w:rsidRDefault="008319AE" w:rsidP="00A96379">
      <w:pPr>
        <w:spacing w:line="360" w:lineRule="auto"/>
        <w:jc w:val="both"/>
        <w:rPr>
          <w:b/>
        </w:rPr>
        <w:sectPr w:rsidR="008319AE" w:rsidRPr="0045196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45196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45196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451961" w:rsidRDefault="008319AE" w:rsidP="008319AE">
      <w:pPr>
        <w:spacing w:line="360" w:lineRule="auto"/>
        <w:jc w:val="both"/>
        <w:rPr>
          <w:rFonts w:eastAsia="Calibri"/>
        </w:rPr>
      </w:pPr>
      <w:r w:rsidRPr="0045196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CAFB5" wp14:editId="679D9D4D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45196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45196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45196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451961" w:rsidRDefault="008319AE" w:rsidP="008319AE">
      <w:pPr>
        <w:jc w:val="both"/>
        <w:rPr>
          <w:rFonts w:eastAsia="Calibri"/>
          <w:sz w:val="22"/>
          <w:szCs w:val="22"/>
        </w:rPr>
      </w:pPr>
    </w:p>
    <w:p w:rsidR="00EB7C29" w:rsidRPr="00451961" w:rsidRDefault="00D46DD8" w:rsidP="00EB7C29">
      <w:pPr>
        <w:spacing w:line="360" w:lineRule="auto"/>
        <w:jc w:val="center"/>
        <w:rPr>
          <w:b/>
          <w:bCs/>
          <w:caps/>
        </w:rPr>
      </w:pPr>
      <w:r w:rsidRPr="00451961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  <w:r w:rsidR="00EB7C29" w:rsidRPr="00451961">
        <w:rPr>
          <w:b/>
          <w:caps/>
        </w:rPr>
        <w:t>систем</w:t>
      </w:r>
      <w:r w:rsidRPr="00451961">
        <w:rPr>
          <w:b/>
          <w:caps/>
        </w:rPr>
        <w:t>Ы</w:t>
      </w:r>
      <w:r w:rsidR="00EB7C29" w:rsidRPr="00451961">
        <w:rPr>
          <w:b/>
          <w:caps/>
        </w:rPr>
        <w:t xml:space="preserve"> </w:t>
      </w:r>
      <w:r w:rsidR="00EB7C29" w:rsidRPr="00451961">
        <w:rPr>
          <w:b/>
          <w:bCs/>
          <w:caps/>
        </w:rPr>
        <w:t>электроснабжения объектов капитального строительства</w:t>
      </w:r>
    </w:p>
    <w:p w:rsidR="008319AE" w:rsidRPr="0045196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45196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30297" wp14:editId="1F374DF3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45196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451961">
        <w:rPr>
          <w:rFonts w:eastAsia="Calibri"/>
          <w:bCs/>
        </w:rPr>
        <w:t>Дата введения – 20__ – __ – __</w:t>
      </w:r>
    </w:p>
    <w:p w:rsidR="008319AE" w:rsidRPr="00451961" w:rsidRDefault="008319AE" w:rsidP="008319AE">
      <w:pPr>
        <w:spacing w:line="360" w:lineRule="auto"/>
        <w:rPr>
          <w:rFonts w:eastAsia="Calibri"/>
          <w:b/>
        </w:rPr>
      </w:pPr>
    </w:p>
    <w:p w:rsidR="008319AE" w:rsidRPr="0045196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451961">
        <w:rPr>
          <w:rFonts w:eastAsia="Calibri"/>
          <w:b/>
          <w:sz w:val="32"/>
        </w:rPr>
        <w:t>1.</w:t>
      </w:r>
      <w:r w:rsidRPr="00451961">
        <w:rPr>
          <w:rFonts w:eastAsia="Calibri"/>
          <w:b/>
          <w:sz w:val="32"/>
        </w:rPr>
        <w:tab/>
        <w:t>Область применения</w:t>
      </w:r>
    </w:p>
    <w:p w:rsidR="002F30CD" w:rsidRPr="00451961" w:rsidRDefault="00724F20" w:rsidP="00221668">
      <w:pPr>
        <w:tabs>
          <w:tab w:val="left" w:pos="381"/>
          <w:tab w:val="left" w:pos="1418"/>
        </w:tabs>
        <w:spacing w:line="360" w:lineRule="auto"/>
        <w:ind w:firstLine="709"/>
        <w:jc w:val="both"/>
      </w:pPr>
      <w:r w:rsidRPr="00451961">
        <w:t>1.1</w:t>
      </w:r>
      <w:r w:rsidR="00EA71B3" w:rsidRPr="00451961">
        <w:tab/>
      </w:r>
      <w:r w:rsidRPr="00451961">
        <w:t>Настоящий стандарт распространяется на</w:t>
      </w:r>
      <w:r w:rsidR="008A0474" w:rsidRPr="00451961">
        <w:t xml:space="preserve"> </w:t>
      </w:r>
      <w:r w:rsidR="00B567AF" w:rsidRPr="00451961">
        <w:t>подготовку проектной документации систем</w:t>
      </w:r>
      <w:r w:rsidR="00EB7C29" w:rsidRPr="00451961">
        <w:t xml:space="preserve"> электроснабжения объектов капитального строительства</w:t>
      </w:r>
    </w:p>
    <w:p w:rsidR="005C7D27" w:rsidRPr="00451961" w:rsidRDefault="005C7D27" w:rsidP="00221668">
      <w:pPr>
        <w:tabs>
          <w:tab w:val="left" w:pos="1418"/>
        </w:tabs>
        <w:spacing w:line="360" w:lineRule="auto"/>
        <w:ind w:firstLine="709"/>
        <w:jc w:val="both"/>
      </w:pPr>
      <w:r w:rsidRPr="00451961">
        <w:t>1.2</w:t>
      </w:r>
      <w:r w:rsidR="00EA71B3" w:rsidRPr="00451961">
        <w:tab/>
      </w:r>
      <w:r w:rsidRPr="00451961">
        <w:t xml:space="preserve">Стандарт применим в целях </w:t>
      </w:r>
      <w:r w:rsidRPr="00451961">
        <w:rPr>
          <w:rFonts w:eastAsia="Times New Roman"/>
          <w:lang w:eastAsia="ru-RU"/>
        </w:rPr>
        <w:t>контр</w:t>
      </w:r>
      <w:r w:rsidR="00F16048">
        <w:rPr>
          <w:rFonts w:eastAsia="Times New Roman"/>
          <w:lang w:eastAsia="ru-RU"/>
        </w:rPr>
        <w:t>оля саморегулируемой организацией</w:t>
      </w:r>
      <w:r w:rsidRPr="00451961">
        <w:rPr>
          <w:rFonts w:eastAsia="Times New Roman"/>
          <w:lang w:eastAsia="ru-RU"/>
        </w:rPr>
        <w:t xml:space="preserve"> за деятельностью своих членов.</w:t>
      </w:r>
    </w:p>
    <w:p w:rsidR="005E5A41" w:rsidRPr="00451961" w:rsidRDefault="005E5A41" w:rsidP="00A96379">
      <w:pPr>
        <w:spacing w:line="360" w:lineRule="auto"/>
        <w:jc w:val="both"/>
        <w:rPr>
          <w:b/>
        </w:rPr>
      </w:pPr>
    </w:p>
    <w:p w:rsidR="005E5A41" w:rsidRPr="0045196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451961">
        <w:rPr>
          <w:rFonts w:ascii="Times New Roman" w:hAnsi="Times New Roman"/>
          <w:b/>
          <w:sz w:val="32"/>
          <w:szCs w:val="28"/>
        </w:rPr>
        <w:t>2.</w:t>
      </w:r>
      <w:r w:rsidRPr="0045196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44320D" w:rsidRPr="0044320D" w:rsidRDefault="0044320D" w:rsidP="0044320D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2.301-68 </w:t>
      </w:r>
      <w:r w:rsidRPr="00451961">
        <w:rPr>
          <w:rFonts w:ascii="Times New Roman" w:hAnsi="Times New Roman"/>
          <w:bCs/>
          <w:spacing w:val="2"/>
          <w:sz w:val="28"/>
          <w:szCs w:val="28"/>
        </w:rPr>
        <w:t>Единая система конструкторской документации (ЕСКД). Форматы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2.302-68 Единая система конструкторской документации (ЕСКД). Масштабы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2.702-2011 Единая система конструкторской документации (ЕСКД). Правила выполнения электрических схем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2.703-2011 Единая система конструкторской документации (ЕСКД). Правила выполнения кинематических схем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lastRenderedPageBreak/>
        <w:t>ГОСТ 21.001-2013. Система проектной документации для строительства. Общие положения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21.002-2014. Система проектной документации для строительства. Нормоконтроль проектной и рабочей документации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21.110-2013. Система проектной документации для строительства. Спецификация оборудования, изделий и материалов. </w:t>
      </w:r>
    </w:p>
    <w:p w:rsidR="00F73A11" w:rsidRPr="00451961" w:rsidRDefault="00F73A11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21.210-2014. Система проектной документации для строительства. Условные графические изображения электрооборудования и проводок на планах.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21.607-2014. Система проектной документации для строительства. Правила выполнения рабочей документации наружного электрического освещения.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21.608-2014. Система проектной документации для строительства. Правила выполнения рабочей документации внутреннего электрического освещения. </w:t>
      </w:r>
    </w:p>
    <w:p w:rsidR="00EB7C29" w:rsidRPr="00451961" w:rsidRDefault="00EB7C29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21.613-2014. Система проектной документации для строительства. Правила выполнения рабочей документации силового электрооборудования. </w:t>
      </w:r>
    </w:p>
    <w:p w:rsidR="002B6D1C" w:rsidRPr="00451961" w:rsidRDefault="002B6D1C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ГОСТ 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>ГОСТ Р 21.1003-2009. Учет и хранение проектной документации.</w:t>
      </w:r>
    </w:p>
    <w:p w:rsidR="00033EC7" w:rsidRPr="00451961" w:rsidRDefault="00033EC7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 xml:space="preserve">ГОСТ Р 21.1101-2013. Система проектной документации для строительства. Основные требования к проектной и рабочей документации. </w:t>
      </w:r>
    </w:p>
    <w:p w:rsidR="00FA3EDF" w:rsidRPr="00451961" w:rsidRDefault="00FA3EDF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СП 31-110-2003 Проектирование и монтаж электроустановок жилых и общественных зданий</w:t>
      </w:r>
    </w:p>
    <w:p w:rsidR="00FA3EDF" w:rsidRPr="00451961" w:rsidRDefault="00FA3EDF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sz w:val="28"/>
          <w:szCs w:val="28"/>
        </w:rPr>
        <w:t>СП 6.13130.2013 Системы противопожарной защиты. Электрооборудование. Требования пожарной безопасности</w:t>
      </w:r>
    </w:p>
    <w:p w:rsidR="00FA3EDF" w:rsidRPr="00451961" w:rsidRDefault="00FA3EDF" w:rsidP="00FA3EDF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lastRenderedPageBreak/>
        <w:t xml:space="preserve">СП 52.13330.2016 «СНиП 23-05-95 Естественное и искусственное освещение» </w:t>
      </w:r>
    </w:p>
    <w:p w:rsidR="00FA3EDF" w:rsidRPr="00451961" w:rsidRDefault="00FA3EDF" w:rsidP="00FA3EDF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bCs/>
          <w:spacing w:val="2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 xml:space="preserve">СП 76.13330.2016 «СНиП 3.05.06-85 Электротехнические устройства» </w:t>
      </w:r>
    </w:p>
    <w:p w:rsidR="00FA3EDF" w:rsidRPr="00451961" w:rsidRDefault="00FA3EDF" w:rsidP="00033EC7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51961">
        <w:rPr>
          <w:rFonts w:ascii="Times New Roman" w:hAnsi="Times New Roman"/>
          <w:bCs/>
          <w:spacing w:val="2"/>
          <w:sz w:val="28"/>
          <w:szCs w:val="28"/>
        </w:rPr>
        <w:t>СП 256.1325800.2016 Электроустановки жилых и общественных зданий. Правила проектирования и монтажа</w:t>
      </w:r>
    </w:p>
    <w:p w:rsidR="008319AE" w:rsidRPr="0045196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451961">
        <w:rPr>
          <w:rStyle w:val="72pt"/>
          <w:sz w:val="24"/>
          <w:szCs w:val="24"/>
        </w:rPr>
        <w:t>Примечание –</w:t>
      </w:r>
      <w:r w:rsidRPr="0045196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45196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45196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451961">
        <w:rPr>
          <w:rFonts w:ascii="Times New Roman" w:hAnsi="Times New Roman"/>
          <w:b/>
          <w:sz w:val="32"/>
          <w:szCs w:val="28"/>
        </w:rPr>
        <w:t>3.</w:t>
      </w:r>
      <w:r w:rsidRPr="0045196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451961" w:rsidRDefault="00D11C6E" w:rsidP="0070746D">
      <w:pPr>
        <w:spacing w:line="360" w:lineRule="auto"/>
        <w:jc w:val="both"/>
        <w:rPr>
          <w:b/>
        </w:rPr>
      </w:pPr>
    </w:p>
    <w:p w:rsidR="006D0742" w:rsidRPr="00451961" w:rsidRDefault="006D0742" w:rsidP="006D0742">
      <w:pPr>
        <w:spacing w:line="360" w:lineRule="auto"/>
        <w:ind w:firstLine="709"/>
        <w:jc w:val="both"/>
      </w:pPr>
      <w:r w:rsidRPr="00451961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2D59C3" w:rsidRPr="00451961">
        <w:t xml:space="preserve"> </w:t>
      </w:r>
      <w:r w:rsidR="00807C8B" w:rsidRPr="00451961">
        <w:rPr>
          <w:spacing w:val="2"/>
        </w:rPr>
        <w:t xml:space="preserve">ГОСТ </w:t>
      </w:r>
      <w:r w:rsidR="002D59C3" w:rsidRPr="00451961">
        <w:rPr>
          <w:spacing w:val="2"/>
        </w:rPr>
        <w:t>21.001</w:t>
      </w:r>
      <w:r w:rsidR="002B6D1C" w:rsidRPr="00451961">
        <w:t>,</w:t>
      </w:r>
      <w:r w:rsidR="002B6D1C" w:rsidRPr="00451961">
        <w:rPr>
          <w:bCs/>
          <w:spacing w:val="2"/>
        </w:rPr>
        <w:t xml:space="preserve"> ПУЭ [3]:</w:t>
      </w:r>
    </w:p>
    <w:p w:rsidR="009A1DB5" w:rsidRPr="00451961" w:rsidRDefault="009A1DB5" w:rsidP="00782140">
      <w:pPr>
        <w:spacing w:line="360" w:lineRule="auto"/>
        <w:ind w:firstLine="708"/>
        <w:jc w:val="both"/>
        <w:rPr>
          <w:b/>
        </w:rPr>
      </w:pPr>
    </w:p>
    <w:p w:rsidR="00042911" w:rsidRPr="0024406D" w:rsidRDefault="00042911" w:rsidP="0004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3.1</w:t>
      </w:r>
      <w:r w:rsidR="0026474D" w:rsidRPr="00451961">
        <w:rPr>
          <w:b/>
        </w:rPr>
        <w:t xml:space="preserve"> </w:t>
      </w:r>
      <w:r w:rsidR="002D59C3" w:rsidRPr="00451961">
        <w:rPr>
          <w:b/>
          <w:bCs/>
          <w:spacing w:val="2"/>
        </w:rPr>
        <w:t>проектная документация:</w:t>
      </w:r>
      <w:r w:rsidR="002D59C3" w:rsidRPr="00451961">
        <w:rPr>
          <w:spacing w:val="2"/>
        </w:rPr>
        <w:t xml:space="preserve"> </w:t>
      </w:r>
      <w:r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26474D" w:rsidRPr="00042911" w:rsidRDefault="00042911" w:rsidP="0004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451961" w:rsidRDefault="00782140" w:rsidP="00217BAA">
      <w:pPr>
        <w:spacing w:line="360" w:lineRule="auto"/>
        <w:jc w:val="both"/>
        <w:rPr>
          <w:b/>
        </w:rPr>
      </w:pPr>
    </w:p>
    <w:p w:rsidR="00451961" w:rsidRDefault="00042911" w:rsidP="0045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lastRenderedPageBreak/>
        <w:t>3.2</w:t>
      </w:r>
      <w:r w:rsidR="00451961" w:rsidRPr="00451961">
        <w:rPr>
          <w:b/>
        </w:rPr>
        <w:t xml:space="preserve"> </w:t>
      </w:r>
      <w:r w:rsidR="00451961" w:rsidRPr="00451961">
        <w:rPr>
          <w:b/>
          <w:bCs/>
          <w:spacing w:val="2"/>
        </w:rPr>
        <w:t>рабочая документация:</w:t>
      </w:r>
      <w:r w:rsidR="00451961"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042911" w:rsidRPr="00042911" w:rsidRDefault="00042911" w:rsidP="0004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>[</w:t>
      </w:r>
      <w:r w:rsidR="00447A3E">
        <w:rPr>
          <w:spacing w:val="2"/>
        </w:rPr>
        <w:t xml:space="preserve">ГОСТ </w:t>
      </w:r>
      <w:r w:rsidRPr="00363F64">
        <w:rPr>
          <w:spacing w:val="2"/>
        </w:rPr>
        <w:t xml:space="preserve"> 21.001-2013, пункт 3.1 6</w:t>
      </w:r>
      <w:r w:rsidRPr="00451961">
        <w:rPr>
          <w:spacing w:val="2"/>
        </w:rPr>
        <w:t>]</w:t>
      </w:r>
    </w:p>
    <w:p w:rsidR="0026474D" w:rsidRPr="00451961" w:rsidRDefault="0026474D" w:rsidP="0026474D">
      <w:pPr>
        <w:spacing w:line="360" w:lineRule="auto"/>
        <w:jc w:val="both"/>
        <w:rPr>
          <w:b/>
        </w:rPr>
      </w:pPr>
    </w:p>
    <w:p w:rsidR="00080BE8" w:rsidRPr="0045196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451961">
        <w:rPr>
          <w:b/>
        </w:rPr>
        <w:t>3.</w:t>
      </w:r>
      <w:r w:rsidR="00042911">
        <w:rPr>
          <w:b/>
        </w:rPr>
        <w:t>3</w:t>
      </w:r>
      <w:r w:rsidR="00135AFE" w:rsidRPr="00451961">
        <w:rPr>
          <w:b/>
        </w:rPr>
        <w:tab/>
      </w:r>
      <w:r w:rsidR="00080BE8" w:rsidRPr="00451961">
        <w:rPr>
          <w:b/>
        </w:rPr>
        <w:t>стандарт организации</w:t>
      </w:r>
      <w:r w:rsidR="006E2017" w:rsidRPr="00451961">
        <w:t>: Д</w:t>
      </w:r>
      <w:r w:rsidR="00080BE8" w:rsidRPr="00451961">
        <w:t>окумент по стандартизации, утвержденный</w:t>
      </w:r>
      <w:r w:rsidR="006A4E8F" w:rsidRPr="00451961">
        <w:t xml:space="preserve"> </w:t>
      </w:r>
      <w:r w:rsidR="00080BE8" w:rsidRPr="00451961">
        <w:t>юридическим лицом, в том числе государственной корпорацией,</w:t>
      </w:r>
      <w:r w:rsidR="006A4E8F" w:rsidRPr="00451961">
        <w:t xml:space="preserve"> </w:t>
      </w:r>
      <w:r w:rsidR="00080BE8" w:rsidRPr="00451961">
        <w:t>саморегулируемой организацией, а также индивидуальным предпринимателем</w:t>
      </w:r>
      <w:r w:rsidR="006A4E8F" w:rsidRPr="00451961">
        <w:t xml:space="preserve"> </w:t>
      </w:r>
      <w:r w:rsidR="00080BE8" w:rsidRPr="00451961">
        <w:t>для совершенствования производства и обеспечения качества продукции,</w:t>
      </w:r>
      <w:r w:rsidR="006A4E8F" w:rsidRPr="00451961">
        <w:t xml:space="preserve"> </w:t>
      </w:r>
      <w:r w:rsidR="00080BE8" w:rsidRPr="00451961">
        <w:t>выполнения работ, оказания услуг</w:t>
      </w:r>
      <w:r w:rsidR="006E2017" w:rsidRPr="00451961">
        <w:t>.</w:t>
      </w:r>
      <w:r w:rsidR="00080BE8" w:rsidRPr="00451961">
        <w:t xml:space="preserve"> </w:t>
      </w:r>
    </w:p>
    <w:p w:rsidR="006E2017" w:rsidRPr="0045196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451961">
        <w:t xml:space="preserve">[ФЗ от 29.06.2015 №162-ФЗ «О стандартизации в Российской Федерации», [статья 2, пункт 13] </w:t>
      </w:r>
    </w:p>
    <w:p w:rsidR="008A0474" w:rsidRPr="00451961" w:rsidRDefault="006E2017" w:rsidP="0099237C">
      <w:pPr>
        <w:spacing w:line="360" w:lineRule="auto"/>
        <w:jc w:val="both"/>
      </w:pPr>
      <w:r w:rsidRPr="00451961">
        <w:tab/>
      </w:r>
    </w:p>
    <w:p w:rsidR="002B6D1C" w:rsidRPr="00451961" w:rsidRDefault="00042911" w:rsidP="002B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  <w:spacing w:val="2"/>
        </w:rPr>
        <w:t>3.4</w:t>
      </w:r>
      <w:r w:rsidR="002B6D1C" w:rsidRPr="00451961">
        <w:rPr>
          <w:b/>
          <w:spacing w:val="2"/>
        </w:rPr>
        <w:t xml:space="preserve"> Система электроснабжения:</w:t>
      </w:r>
      <w:r w:rsidR="002B6D1C" w:rsidRPr="00451961">
        <w:rPr>
          <w:spacing w:val="2"/>
        </w:rPr>
        <w:t xml:space="preserve"> Совокупность электроустановок, предназначенных для обеспечения потребителей электрической энергией</w:t>
      </w:r>
    </w:p>
    <w:p w:rsidR="002B6D1C" w:rsidRPr="00451961" w:rsidRDefault="002B6D1C" w:rsidP="002B6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451961">
        <w:rPr>
          <w:spacing w:val="2"/>
        </w:rPr>
        <w:t>[ПУЭ, Глава 1.2, п 1.2.5</w:t>
      </w:r>
      <w:r w:rsidR="00033EC7" w:rsidRPr="00451961">
        <w:rPr>
          <w:spacing w:val="2"/>
        </w:rPr>
        <w:t>]</w:t>
      </w:r>
    </w:p>
    <w:p w:rsidR="00734C4A" w:rsidRPr="00451961" w:rsidRDefault="00734C4A" w:rsidP="00734C4A"/>
    <w:p w:rsidR="00734C4A" w:rsidRPr="00451961" w:rsidRDefault="00734C4A" w:rsidP="00734C4A"/>
    <w:p w:rsidR="009F683E" w:rsidRPr="00451961" w:rsidRDefault="00E500CE" w:rsidP="00B567AF">
      <w:pPr>
        <w:pStyle w:val="ad"/>
        <w:ind w:firstLine="709"/>
        <w:jc w:val="both"/>
        <w:rPr>
          <w:sz w:val="32"/>
          <w:szCs w:val="32"/>
        </w:rPr>
      </w:pPr>
      <w:r w:rsidRPr="00451961">
        <w:rPr>
          <w:rFonts w:cs="Times New Roman"/>
          <w:sz w:val="32"/>
          <w:szCs w:val="32"/>
        </w:rPr>
        <w:t>4</w:t>
      </w:r>
      <w:r w:rsidR="00F64807" w:rsidRPr="00451961">
        <w:rPr>
          <w:rFonts w:cs="Times New Roman"/>
          <w:sz w:val="32"/>
          <w:szCs w:val="32"/>
        </w:rPr>
        <w:t>.</w:t>
      </w:r>
      <w:r w:rsidR="00B567AF" w:rsidRPr="00451961">
        <w:rPr>
          <w:rFonts w:cs="Times New Roman"/>
          <w:sz w:val="32"/>
          <w:szCs w:val="32"/>
        </w:rPr>
        <w:t xml:space="preserve"> </w:t>
      </w:r>
      <w:r w:rsidR="00B567AF" w:rsidRPr="00451961">
        <w:rPr>
          <w:sz w:val="32"/>
          <w:szCs w:val="32"/>
        </w:rPr>
        <w:t>Общие положения по подготовке проектной документации систем электроснабжения объектов капитального строительства</w:t>
      </w:r>
    </w:p>
    <w:p w:rsidR="00B567AF" w:rsidRPr="00451961" w:rsidRDefault="00B567AF" w:rsidP="00B567AF">
      <w:pPr>
        <w:spacing w:line="360" w:lineRule="auto"/>
        <w:ind w:firstLine="708"/>
        <w:jc w:val="both"/>
      </w:pPr>
    </w:p>
    <w:p w:rsidR="00B567AF" w:rsidRPr="00451961" w:rsidRDefault="00B567AF" w:rsidP="00B567AF">
      <w:pPr>
        <w:spacing w:line="360" w:lineRule="auto"/>
        <w:ind w:firstLine="708"/>
        <w:jc w:val="both"/>
      </w:pPr>
      <w:r w:rsidRPr="00451961">
        <w:t xml:space="preserve">4.1 Разработка  проектной документации </w:t>
      </w:r>
      <w:r w:rsidR="00FA3EDF" w:rsidRPr="00451961">
        <w:t xml:space="preserve">систем электроснабжения </w:t>
      </w:r>
      <w:r w:rsidRPr="00451961">
        <w:t xml:space="preserve">осуществляется </w:t>
      </w:r>
      <w:r w:rsidRPr="00451961">
        <w:rPr>
          <w:sz w:val="32"/>
          <w:szCs w:val="32"/>
        </w:rPr>
        <w:t xml:space="preserve"> </w:t>
      </w:r>
      <w:r w:rsidRPr="00451961">
        <w:t>в соответствии с Градостроительным кодексом [1]</w:t>
      </w:r>
      <w:r w:rsidR="00B51BF9" w:rsidRPr="00451961">
        <w:t>, Положением о составе разделов проектной документации и требованиях к их содержанию [3], ПУЭ [4</w:t>
      </w:r>
      <w:r w:rsidRPr="00451961">
        <w:t>], действующими нормативными документами</w:t>
      </w:r>
      <w:r w:rsidR="00B51BF9" w:rsidRPr="00451961">
        <w:t xml:space="preserve"> </w:t>
      </w:r>
      <w:r w:rsidR="00B51BF9" w:rsidRPr="00451961">
        <w:lastRenderedPageBreak/>
        <w:t>в области проектирования систем электроснабжения, заданием на проектирование</w:t>
      </w:r>
      <w:r w:rsidR="003D6A94" w:rsidRPr="00451961">
        <w:t>.</w:t>
      </w:r>
    </w:p>
    <w:p w:rsidR="00B51BF9" w:rsidRDefault="00B51BF9" w:rsidP="00B567AF">
      <w:pPr>
        <w:spacing w:line="360" w:lineRule="auto"/>
        <w:ind w:firstLine="708"/>
        <w:jc w:val="both"/>
      </w:pPr>
      <w:r w:rsidRPr="00451961">
        <w:t xml:space="preserve">4.2 </w:t>
      </w:r>
      <w:r w:rsidR="00E16F10" w:rsidRPr="00451961">
        <w:t>Стадийность проектирования и объем проектной документации</w:t>
      </w:r>
      <w:r w:rsidR="00451961">
        <w:t>.</w:t>
      </w:r>
    </w:p>
    <w:p w:rsidR="00020FD5" w:rsidRPr="00451961" w:rsidRDefault="00020FD5" w:rsidP="00020FD5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 xml:space="preserve">Выделяют </w:t>
      </w:r>
      <w:r w:rsidRPr="00451961">
        <w:rPr>
          <w:bCs/>
          <w:spacing w:val="2"/>
        </w:rPr>
        <w:t>две стадии проектирования:</w:t>
      </w:r>
    </w:p>
    <w:p w:rsidR="00020FD5" w:rsidRPr="00451961" w:rsidRDefault="00020FD5" w:rsidP="00020FD5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«П» - проектная документация;</w:t>
      </w:r>
    </w:p>
    <w:p w:rsidR="00020FD5" w:rsidRPr="00451961" w:rsidRDefault="00020FD5" w:rsidP="00020FD5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«Р» - рабочая документация.</w:t>
      </w:r>
    </w:p>
    <w:p w:rsidR="00020FD5" w:rsidRPr="00EE369D" w:rsidRDefault="00020FD5" w:rsidP="00020FD5">
      <w:pPr>
        <w:spacing w:line="360" w:lineRule="auto"/>
        <w:ind w:firstLine="567"/>
        <w:jc w:val="both"/>
        <w:rPr>
          <w:spacing w:val="2"/>
        </w:rPr>
      </w:pPr>
      <w:r w:rsidRPr="00EE369D">
        <w:rPr>
          <w:spacing w:val="2"/>
        </w:rPr>
        <w:t>Рабочая документация может  выполняться  как  одновременно  с  подготовкой  проектной документации,  так  и  после.</w:t>
      </w:r>
    </w:p>
    <w:p w:rsidR="00020FD5" w:rsidRDefault="00020FD5" w:rsidP="00020FD5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020FD5" w:rsidRPr="00EE369D" w:rsidRDefault="00020FD5" w:rsidP="00020FD5">
      <w:pPr>
        <w:spacing w:line="360" w:lineRule="auto"/>
        <w:ind w:firstLine="567"/>
        <w:jc w:val="both"/>
        <w:rPr>
          <w:spacing w:val="2"/>
        </w:rPr>
      </w:pPr>
      <w:r w:rsidRPr="00EE369D"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042911" w:rsidRPr="00020FD5" w:rsidRDefault="00020FD5" w:rsidP="00020FD5">
      <w:pPr>
        <w:spacing w:line="360" w:lineRule="auto"/>
        <w:ind w:firstLine="708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>
        <w:t xml:space="preserve"> [5], </w:t>
      </w:r>
      <w:r w:rsidRPr="00BE75E1">
        <w:t>[6]</w:t>
      </w:r>
      <w:r w:rsidRPr="00EE369D">
        <w:t>.</w:t>
      </w:r>
    </w:p>
    <w:p w:rsidR="00B567AF" w:rsidRPr="00451961" w:rsidRDefault="00B567AF" w:rsidP="00B567AF">
      <w:pPr>
        <w:spacing w:line="360" w:lineRule="auto"/>
        <w:jc w:val="both"/>
      </w:pPr>
      <w:r w:rsidRPr="00451961">
        <w:rPr>
          <w:b/>
        </w:rPr>
        <w:tab/>
      </w:r>
      <w:r w:rsidR="00451961">
        <w:t>4.3</w:t>
      </w:r>
      <w:r w:rsidRPr="00451961">
        <w:t xml:space="preserve"> Для разработки проектной документации систем электроснабжения основными исходными данными являются: </w:t>
      </w:r>
    </w:p>
    <w:p w:rsidR="00CB2E69" w:rsidRPr="00451961" w:rsidRDefault="00F00D4E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задание на проектирование</w:t>
      </w:r>
      <w:r w:rsidR="00CB2E69" w:rsidRPr="00451961">
        <w:rPr>
          <w:rFonts w:eastAsia="Times New Roman"/>
          <w:lang w:eastAsia="ru-RU"/>
        </w:rPr>
        <w:t xml:space="preserve">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технические условия на энергообеспечение объекта или договор на поставку электроэнергии (для проекта капитального ремонта);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задание от разработчика архитектуры, технологии, инженерных разделов на электроснабжение оборудования, устройство искусственного освещения;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данные инженерных изысканий (для проекта наружных сетей электроснабжения);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архитектурная подоснова здания (планы, разрезы); </w:t>
      </w:r>
    </w:p>
    <w:p w:rsidR="00CB2E69" w:rsidRPr="00451961" w:rsidRDefault="00CB2E69" w:rsidP="00F00D4E">
      <w:pPr>
        <w:pStyle w:val="a8"/>
        <w:numPr>
          <w:ilvl w:val="0"/>
          <w:numId w:val="47"/>
        </w:numPr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 xml:space="preserve">чертежи конструктивной и инженерных частей (для взаимной увязки коммуникаций, принятия решений по прохождению и креплению кабелей к стенам, перекрытиям). </w:t>
      </w:r>
    </w:p>
    <w:p w:rsidR="00B567AF" w:rsidRPr="00451961" w:rsidRDefault="00451961" w:rsidP="00B567AF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4.4</w:t>
      </w:r>
      <w:r w:rsidR="00B567AF" w:rsidRPr="00451961">
        <w:rPr>
          <w:rFonts w:eastAsia="Times New Roman"/>
          <w:lang w:eastAsia="ru-RU"/>
        </w:rPr>
        <w:t>.</w:t>
      </w:r>
      <w:r w:rsidR="00E213D8" w:rsidRPr="00451961">
        <w:rPr>
          <w:rFonts w:eastAsia="Times New Roman"/>
          <w:lang w:eastAsia="ru-RU"/>
        </w:rPr>
        <w:t>Алгоритм проектирования систем электроснабжения</w:t>
      </w:r>
      <w:r w:rsidR="00B567AF" w:rsidRPr="00451961">
        <w:rPr>
          <w:rFonts w:eastAsia="Times New Roman"/>
          <w:lang w:eastAsia="ru-RU"/>
        </w:rPr>
        <w:t>.</w:t>
      </w:r>
    </w:p>
    <w:p w:rsidR="00CB2E69" w:rsidRPr="00451961" w:rsidRDefault="00451961" w:rsidP="00B567AF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B567AF" w:rsidRPr="00451961">
        <w:rPr>
          <w:rFonts w:eastAsia="Times New Roman"/>
          <w:lang w:eastAsia="ru-RU"/>
        </w:rPr>
        <w:t xml:space="preserve">.1 </w:t>
      </w:r>
      <w:r w:rsidR="000150D0" w:rsidRPr="00451961">
        <w:rPr>
          <w:rFonts w:eastAsia="Times New Roman"/>
          <w:lang w:eastAsia="ru-RU"/>
        </w:rPr>
        <w:t>Выполнение электротехнических расчетов</w:t>
      </w:r>
      <w:r w:rsidR="00B567AF" w:rsidRPr="00451961">
        <w:rPr>
          <w:rFonts w:eastAsia="Times New Roman"/>
          <w:lang w:eastAsia="ru-RU"/>
        </w:rPr>
        <w:t>.</w:t>
      </w:r>
    </w:p>
    <w:p w:rsidR="00F325A9" w:rsidRPr="00451961" w:rsidRDefault="00F325A9" w:rsidP="00B567AF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В ходе расчётов необходимо определить следующие параметры: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распределение нагрузок по всем ветвям сети электропроводки;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номиналы защитных автоматов, в том числе пределы срабатывания для систем контроля дифференциальной разности токов (УЗО);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минимально необходимые сечения кабелей и проводов;</w:t>
      </w:r>
    </w:p>
    <w:p w:rsidR="00F325A9" w:rsidRPr="00451961" w:rsidRDefault="00F325A9" w:rsidP="00B567AF">
      <w:pPr>
        <w:numPr>
          <w:ilvl w:val="0"/>
          <w:numId w:val="42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установочные и расчётные мощности.</w:t>
      </w:r>
    </w:p>
    <w:p w:rsidR="00F325A9" w:rsidRPr="00451961" w:rsidRDefault="00F325A9" w:rsidP="00B567AF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Далее определяются фактические номиналы для каждого элемента проектируемой сети и разрабатывается однолинейная схема распределительного щита.</w:t>
      </w:r>
    </w:p>
    <w:p w:rsidR="00F325A9" w:rsidRPr="00451961" w:rsidRDefault="00451961" w:rsidP="00B567AF">
      <w:pPr>
        <w:spacing w:line="360" w:lineRule="auto"/>
        <w:ind w:firstLine="567"/>
        <w:jc w:val="both"/>
      </w:pPr>
      <w:r>
        <w:rPr>
          <w:rFonts w:eastAsia="Times New Roman"/>
          <w:lang w:eastAsia="ru-RU"/>
        </w:rPr>
        <w:tab/>
        <w:t>4.4</w:t>
      </w:r>
      <w:r w:rsidR="00B567AF" w:rsidRPr="00451961">
        <w:rPr>
          <w:rFonts w:eastAsia="Times New Roman"/>
          <w:lang w:eastAsia="ru-RU"/>
        </w:rPr>
        <w:t>.2</w:t>
      </w:r>
      <w:r w:rsidR="00F325A9" w:rsidRPr="00451961">
        <w:rPr>
          <w:rFonts w:eastAsia="Times New Roman"/>
          <w:lang w:eastAsia="ru-RU"/>
        </w:rPr>
        <w:t xml:space="preserve"> </w:t>
      </w:r>
      <w:r w:rsidR="00F325A9" w:rsidRPr="00451961">
        <w:t>Разработка электрических принципиальных схем и планов размещения электрооборудования</w:t>
      </w:r>
    </w:p>
    <w:p w:rsidR="00F325A9" w:rsidRPr="00451961" w:rsidRDefault="00F325A9" w:rsidP="00B567AF">
      <w:pPr>
        <w:pStyle w:val="af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1961">
        <w:tab/>
      </w:r>
      <w:r w:rsidRPr="00451961">
        <w:rPr>
          <w:sz w:val="28"/>
          <w:szCs w:val="28"/>
        </w:rPr>
        <w:t>Данные, которые обязательно должны быть отражены на принципиальной схеме:</w:t>
      </w:r>
    </w:p>
    <w:p w:rsidR="00F325A9" w:rsidRPr="00451961" w:rsidRDefault="00F325A9" w:rsidP="00B567AF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группы нагрузок с указанием их мощности;</w:t>
      </w:r>
    </w:p>
    <w:p w:rsidR="00F325A9" w:rsidRPr="00451961" w:rsidRDefault="00F325A9" w:rsidP="000150D0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максимальные значения токов и сечения проводов и жил кабелей;</w:t>
      </w:r>
    </w:p>
    <w:p w:rsidR="00F325A9" w:rsidRPr="00451961" w:rsidRDefault="00F325A9" w:rsidP="000150D0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маркировка автоматов защиты;</w:t>
      </w:r>
    </w:p>
    <w:p w:rsidR="00F325A9" w:rsidRPr="00451961" w:rsidRDefault="00F325A9" w:rsidP="000150D0">
      <w:pPr>
        <w:numPr>
          <w:ilvl w:val="0"/>
          <w:numId w:val="43"/>
        </w:numPr>
        <w:spacing w:line="360" w:lineRule="auto"/>
        <w:ind w:left="0" w:firstLine="567"/>
        <w:jc w:val="both"/>
        <w:rPr>
          <w:rFonts w:eastAsia="Times New Roman"/>
          <w:lang w:eastAsia="ru-RU"/>
        </w:rPr>
      </w:pPr>
      <w:r w:rsidRPr="00451961">
        <w:rPr>
          <w:rFonts w:eastAsia="Times New Roman"/>
          <w:lang w:eastAsia="ru-RU"/>
        </w:rPr>
        <w:t>расчётные данные электрического ввода.</w:t>
      </w:r>
    </w:p>
    <w:p w:rsidR="00193FE2" w:rsidRPr="00451961" w:rsidRDefault="00451961" w:rsidP="000150D0">
      <w:pPr>
        <w:pStyle w:val="a8"/>
        <w:tabs>
          <w:tab w:val="left" w:pos="1134"/>
        </w:tabs>
        <w:spacing w:line="36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0150D0" w:rsidRPr="00451961">
        <w:rPr>
          <w:rFonts w:eastAsia="Times New Roman"/>
          <w:lang w:eastAsia="ru-RU"/>
        </w:rPr>
        <w:t>.3</w:t>
      </w:r>
      <w:r w:rsidR="00193FE2" w:rsidRPr="00451961">
        <w:rPr>
          <w:rFonts w:eastAsia="Times New Roman"/>
          <w:lang w:eastAsia="ru-RU"/>
        </w:rPr>
        <w:t xml:space="preserve"> </w:t>
      </w:r>
      <w:r w:rsidR="00F325A9" w:rsidRPr="00451961">
        <w:t>Разработка схем размещения электрооборудования и освещения</w:t>
      </w:r>
    </w:p>
    <w:p w:rsidR="0002698C" w:rsidRDefault="0044320D" w:rsidP="00C93610">
      <w:pPr>
        <w:spacing w:line="360" w:lineRule="auto"/>
        <w:ind w:firstLine="567"/>
        <w:jc w:val="both"/>
      </w:pPr>
      <w:bookmarkStart w:id="0" w:name="i198789"/>
      <w:bookmarkEnd w:id="0"/>
      <w:r>
        <w:t>4.5</w:t>
      </w:r>
      <w:r w:rsidR="0002698C" w:rsidRPr="00837963">
        <w:t xml:space="preserve"> </w:t>
      </w:r>
      <w:r w:rsidR="00837963" w:rsidRPr="00837963">
        <w:t xml:space="preserve">Правила выполнения и оформления текстовых и графических материалов, входящих в состав проектной </w:t>
      </w:r>
      <w:r>
        <w:t xml:space="preserve">документации, регламентированы </w:t>
      </w:r>
      <w:bookmarkStart w:id="1" w:name="_GoBack"/>
      <w:bookmarkEnd w:id="1"/>
      <w:r w:rsidR="00837963" w:rsidRPr="00837963">
        <w:t>Положением [3] и ГОСТ Р 21.1101, а рабо</w:t>
      </w:r>
      <w:r>
        <w:t>чей документации ГОСТ Р 21.1101.</w:t>
      </w:r>
    </w:p>
    <w:p w:rsidR="007475B1" w:rsidRPr="00451961" w:rsidRDefault="007475B1" w:rsidP="00837963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698C" w:rsidRPr="000A6CD7" w:rsidRDefault="0002698C" w:rsidP="0002698C">
      <w:pPr>
        <w:pStyle w:val="1"/>
        <w:spacing w:before="0" w:beforeAutospacing="0" w:after="0" w:afterAutospacing="0" w:line="360" w:lineRule="auto"/>
        <w:ind w:firstLine="67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0A6CD7">
        <w:rPr>
          <w:rFonts w:ascii="Times New Roman" w:hAnsi="Times New Roman" w:cs="Times New Roman"/>
          <w:sz w:val="32"/>
          <w:szCs w:val="32"/>
        </w:rPr>
        <w:t>Контроль качества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6CD7">
        <w:rPr>
          <w:rFonts w:ascii="Times New Roman" w:hAnsi="Times New Roman" w:cs="Times New Roman"/>
          <w:sz w:val="32"/>
          <w:szCs w:val="32"/>
        </w:rPr>
        <w:t xml:space="preserve"> работ по подготовке проектной документации</w:t>
      </w:r>
      <w:r>
        <w:rPr>
          <w:rFonts w:ascii="Times New Roman" w:hAnsi="Times New Roman" w:cs="Times New Roman"/>
          <w:sz w:val="32"/>
          <w:szCs w:val="32"/>
        </w:rPr>
        <w:t>, у</w:t>
      </w:r>
      <w:r w:rsidRPr="00C44914">
        <w:rPr>
          <w:rFonts w:ascii="Times New Roman" w:hAnsi="Times New Roman" w:cs="Times New Roman"/>
          <w:sz w:val="32"/>
          <w:szCs w:val="32"/>
        </w:rPr>
        <w:t xml:space="preserve">чет и хранение </w:t>
      </w:r>
      <w:r>
        <w:rPr>
          <w:rFonts w:ascii="Times New Roman" w:hAnsi="Times New Roman" w:cs="Times New Roman"/>
          <w:sz w:val="32"/>
          <w:szCs w:val="32"/>
        </w:rPr>
        <w:t xml:space="preserve">комплекта </w:t>
      </w:r>
      <w:r w:rsidRPr="00C44914">
        <w:rPr>
          <w:rFonts w:ascii="Times New Roman" w:hAnsi="Times New Roman" w:cs="Times New Roman"/>
          <w:sz w:val="32"/>
          <w:szCs w:val="32"/>
        </w:rPr>
        <w:t>документации</w:t>
      </w:r>
    </w:p>
    <w:p w:rsidR="0002698C" w:rsidRPr="005E5A41" w:rsidRDefault="0002698C" w:rsidP="0002698C">
      <w:pPr>
        <w:spacing w:line="360" w:lineRule="auto"/>
        <w:ind w:firstLine="678"/>
        <w:jc w:val="both"/>
      </w:pPr>
      <w:r>
        <w:rPr>
          <w:rFonts w:eastAsia="Times New Roman"/>
          <w:lang w:eastAsia="ru-RU"/>
        </w:rPr>
        <w:t>В</w:t>
      </w:r>
      <w:r w:rsidRPr="00A4290B">
        <w:rPr>
          <w:rFonts w:eastAsia="Times New Roman"/>
          <w:lang w:eastAsia="ru-RU"/>
        </w:rPr>
        <w:t>иды  контроля,  последовательность  проведени</w:t>
      </w:r>
      <w:r>
        <w:rPr>
          <w:rFonts w:eastAsia="Times New Roman"/>
          <w:lang w:eastAsia="ru-RU"/>
        </w:rPr>
        <w:t xml:space="preserve">я,  контролируемые  параметры, </w:t>
      </w:r>
      <w:r w:rsidRPr="00A4290B">
        <w:rPr>
          <w:rFonts w:eastAsia="Times New Roman"/>
          <w:lang w:eastAsia="ru-RU"/>
        </w:rPr>
        <w:t>объемы  контроля</w:t>
      </w:r>
      <w:r>
        <w:rPr>
          <w:rFonts w:eastAsia="Times New Roman"/>
          <w:lang w:eastAsia="ru-RU"/>
        </w:rPr>
        <w:t>, правила учета и хранения</w:t>
      </w:r>
      <w:r w:rsidRPr="00A4290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должны </w:t>
      </w:r>
      <w:r>
        <w:rPr>
          <w:rFonts w:eastAsia="Times New Roman"/>
          <w:lang w:eastAsia="ru-RU"/>
        </w:rPr>
        <w:lastRenderedPageBreak/>
        <w:t>осуществляться в соответствии с процессами системы управления качеством, действующими в проектной организации.</w:t>
      </w:r>
    </w:p>
    <w:p w:rsidR="00C656C4" w:rsidRPr="00451961" w:rsidRDefault="00C656C4" w:rsidP="00C656C4">
      <w:pPr>
        <w:spacing w:line="360" w:lineRule="auto"/>
        <w:ind w:firstLine="567"/>
        <w:jc w:val="both"/>
      </w:pPr>
    </w:p>
    <w:p w:rsidR="001F0C6E" w:rsidRPr="00451961" w:rsidRDefault="00EA71B3" w:rsidP="00EA71B3">
      <w:pPr>
        <w:spacing w:line="360" w:lineRule="auto"/>
        <w:ind w:firstLine="426"/>
        <w:jc w:val="center"/>
        <w:rPr>
          <w:b/>
          <w:sz w:val="32"/>
          <w:szCs w:val="32"/>
        </w:rPr>
      </w:pPr>
      <w:r w:rsidRPr="00451961">
        <w:rPr>
          <w:spacing w:val="2"/>
        </w:rPr>
        <w:br w:type="column"/>
      </w:r>
      <w:r w:rsidR="00125B31" w:rsidRPr="00451961">
        <w:rPr>
          <w:b/>
          <w:sz w:val="32"/>
          <w:szCs w:val="32"/>
        </w:rPr>
        <w:lastRenderedPageBreak/>
        <w:t>Библиография</w:t>
      </w:r>
    </w:p>
    <w:p w:rsidR="00EA71B3" w:rsidRPr="00451961" w:rsidRDefault="00EA71B3" w:rsidP="00125B31">
      <w:pPr>
        <w:spacing w:line="360" w:lineRule="auto"/>
        <w:ind w:firstLine="709"/>
        <w:jc w:val="both"/>
      </w:pPr>
    </w:p>
    <w:p w:rsidR="00125B31" w:rsidRPr="00451961" w:rsidRDefault="00125B31" w:rsidP="00125B31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125B31" w:rsidRPr="00451961" w:rsidRDefault="00125B31" w:rsidP="00125B31">
      <w:pPr>
        <w:spacing w:line="360" w:lineRule="auto"/>
        <w:ind w:firstLine="709"/>
        <w:jc w:val="both"/>
      </w:pPr>
      <w:r w:rsidRPr="00451961">
        <w:t xml:space="preserve">[2] </w:t>
      </w:r>
      <w:r w:rsidR="00807C8B" w:rsidRPr="00451961">
        <w:t>Федеральный закон от 29.06.2015 №162-ФЗ «О стандартизации в Российской Федерации»</w:t>
      </w:r>
    </w:p>
    <w:p w:rsidR="00B51BF9" w:rsidRPr="00451961" w:rsidRDefault="00B51BF9" w:rsidP="00B51BF9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451961" w:rsidRDefault="00B51BF9" w:rsidP="00125B31">
      <w:pPr>
        <w:spacing w:line="360" w:lineRule="auto"/>
        <w:ind w:firstLine="709"/>
        <w:jc w:val="both"/>
        <w:rPr>
          <w:bCs/>
          <w:spacing w:val="2"/>
        </w:rPr>
      </w:pPr>
      <w:r w:rsidRPr="00451961">
        <w:t>[4</w:t>
      </w:r>
      <w:r w:rsidR="009B490B" w:rsidRPr="00451961">
        <w:t xml:space="preserve">] </w:t>
      </w:r>
      <w:r w:rsidR="009B490B" w:rsidRPr="00451961">
        <w:rPr>
          <w:bCs/>
          <w:spacing w:val="2"/>
        </w:rPr>
        <w:t>Правила ус</w:t>
      </w:r>
      <w:r w:rsidR="00451961" w:rsidRPr="00451961">
        <w:rPr>
          <w:bCs/>
          <w:spacing w:val="2"/>
        </w:rPr>
        <w:t>тройства электроустановок (ПУЭ)</w:t>
      </w:r>
      <w:r w:rsidR="009B490B" w:rsidRPr="00451961">
        <w:rPr>
          <w:bCs/>
          <w:spacing w:val="2"/>
        </w:rPr>
        <w:t xml:space="preserve"> </w:t>
      </w:r>
    </w:p>
    <w:p w:rsidR="00837963" w:rsidRPr="005F6D7C" w:rsidRDefault="00837963" w:rsidP="00837963">
      <w:pPr>
        <w:spacing w:line="360" w:lineRule="auto"/>
        <w:ind w:firstLine="709"/>
        <w:jc w:val="both"/>
        <w:rPr>
          <w:bCs/>
        </w:rPr>
      </w:pPr>
      <w:r>
        <w:rPr>
          <w:bCs/>
        </w:rPr>
        <w:t>[</w:t>
      </w:r>
      <w:r w:rsidRPr="00BE75E1">
        <w:rPr>
          <w:bCs/>
        </w:rPr>
        <w:t>5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37963" w:rsidRDefault="00837963" w:rsidP="00837963">
      <w:pPr>
        <w:spacing w:line="360" w:lineRule="auto"/>
        <w:ind w:firstLine="709"/>
        <w:jc w:val="both"/>
        <w:rPr>
          <w:bCs/>
        </w:rPr>
      </w:pPr>
      <w:r>
        <w:rPr>
          <w:bCs/>
        </w:rPr>
        <w:t>[6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837963" w:rsidRPr="00451961" w:rsidRDefault="00837963" w:rsidP="00125B31">
      <w:pPr>
        <w:spacing w:line="360" w:lineRule="auto"/>
        <w:ind w:firstLine="709"/>
        <w:jc w:val="both"/>
        <w:rPr>
          <w:bCs/>
          <w:spacing w:val="2"/>
        </w:rPr>
      </w:pPr>
    </w:p>
    <w:sectPr w:rsidR="00837963" w:rsidRPr="00451961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BC" w:rsidRDefault="005168BC" w:rsidP="008B6FE4">
      <w:r>
        <w:separator/>
      </w:r>
    </w:p>
  </w:endnote>
  <w:endnote w:type="continuationSeparator" w:id="0">
    <w:p w:rsidR="005168BC" w:rsidRDefault="005168BC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382691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44320D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44320D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44320D">
          <w:rPr>
            <w:noProof/>
            <w:sz w:val="24"/>
          </w:rPr>
          <w:t>6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44320D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BC" w:rsidRDefault="005168BC" w:rsidP="008B6FE4">
      <w:r>
        <w:separator/>
      </w:r>
    </w:p>
  </w:footnote>
  <w:footnote w:type="continuationSeparator" w:id="0">
    <w:p w:rsidR="005168BC" w:rsidRDefault="005168BC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E4"/>
    <w:multiLevelType w:val="hybridMultilevel"/>
    <w:tmpl w:val="9004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04016"/>
    <w:multiLevelType w:val="hybridMultilevel"/>
    <w:tmpl w:val="FCA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17FA"/>
    <w:multiLevelType w:val="hybridMultilevel"/>
    <w:tmpl w:val="C680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1479F"/>
    <w:multiLevelType w:val="multilevel"/>
    <w:tmpl w:val="D3D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86F3B"/>
    <w:multiLevelType w:val="multilevel"/>
    <w:tmpl w:val="FD5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8054A"/>
    <w:multiLevelType w:val="hybridMultilevel"/>
    <w:tmpl w:val="30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40A8"/>
    <w:multiLevelType w:val="hybridMultilevel"/>
    <w:tmpl w:val="70F266A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BB95035"/>
    <w:multiLevelType w:val="hybridMultilevel"/>
    <w:tmpl w:val="8D78C2FC"/>
    <w:lvl w:ilvl="0" w:tplc="0D586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0A4957"/>
    <w:multiLevelType w:val="hybridMultilevel"/>
    <w:tmpl w:val="A650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00880"/>
    <w:multiLevelType w:val="multilevel"/>
    <w:tmpl w:val="80A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C4FAE"/>
    <w:multiLevelType w:val="multilevel"/>
    <w:tmpl w:val="F4364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76201D4"/>
    <w:multiLevelType w:val="hybridMultilevel"/>
    <w:tmpl w:val="A4C8FA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7676292"/>
    <w:multiLevelType w:val="hybridMultilevel"/>
    <w:tmpl w:val="427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4911"/>
    <w:multiLevelType w:val="multilevel"/>
    <w:tmpl w:val="AC7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B4A00A8"/>
    <w:multiLevelType w:val="multilevel"/>
    <w:tmpl w:val="A9F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A0331"/>
    <w:multiLevelType w:val="hybridMultilevel"/>
    <w:tmpl w:val="714CF5B0"/>
    <w:lvl w:ilvl="0" w:tplc="6668FC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494257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C208BC"/>
    <w:multiLevelType w:val="multilevel"/>
    <w:tmpl w:val="64860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7">
    <w:nsid w:val="452724B7"/>
    <w:multiLevelType w:val="hybridMultilevel"/>
    <w:tmpl w:val="71C4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4493D"/>
    <w:multiLevelType w:val="hybridMultilevel"/>
    <w:tmpl w:val="70DE7402"/>
    <w:lvl w:ilvl="0" w:tplc="8BD27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8C57BCA"/>
    <w:multiLevelType w:val="hybridMultilevel"/>
    <w:tmpl w:val="9C60882A"/>
    <w:lvl w:ilvl="0" w:tplc="E4A2E0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CD0763"/>
    <w:multiLevelType w:val="multilevel"/>
    <w:tmpl w:val="0B6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7FE01D8"/>
    <w:multiLevelType w:val="hybridMultilevel"/>
    <w:tmpl w:val="E67A94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C4D5159"/>
    <w:multiLevelType w:val="multilevel"/>
    <w:tmpl w:val="2D2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0B49DC"/>
    <w:multiLevelType w:val="hybridMultilevel"/>
    <w:tmpl w:val="B3569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9B4A9F"/>
    <w:multiLevelType w:val="multilevel"/>
    <w:tmpl w:val="D07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576A93"/>
    <w:multiLevelType w:val="multilevel"/>
    <w:tmpl w:val="B2D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642B0767"/>
    <w:multiLevelType w:val="multilevel"/>
    <w:tmpl w:val="3784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9A5F10"/>
    <w:multiLevelType w:val="hybridMultilevel"/>
    <w:tmpl w:val="A48CFB06"/>
    <w:lvl w:ilvl="0" w:tplc="76B0A16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B71AE"/>
    <w:multiLevelType w:val="hybridMultilevel"/>
    <w:tmpl w:val="5FD0275A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7D1A22B1"/>
    <w:multiLevelType w:val="multilevel"/>
    <w:tmpl w:val="14042A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8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2"/>
  </w:num>
  <w:num w:numId="4">
    <w:abstractNumId w:val="46"/>
  </w:num>
  <w:num w:numId="5">
    <w:abstractNumId w:val="6"/>
  </w:num>
  <w:num w:numId="6">
    <w:abstractNumId w:val="36"/>
  </w:num>
  <w:num w:numId="7">
    <w:abstractNumId w:val="15"/>
  </w:num>
  <w:num w:numId="8">
    <w:abstractNumId w:val="19"/>
  </w:num>
  <w:num w:numId="9">
    <w:abstractNumId w:val="21"/>
  </w:num>
  <w:num w:numId="10">
    <w:abstractNumId w:val="23"/>
  </w:num>
  <w:num w:numId="11">
    <w:abstractNumId w:val="24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8"/>
  </w:num>
  <w:num w:numId="16">
    <w:abstractNumId w:val="44"/>
  </w:num>
  <w:num w:numId="17">
    <w:abstractNumId w:val="45"/>
  </w:num>
  <w:num w:numId="18">
    <w:abstractNumId w:val="22"/>
  </w:num>
  <w:num w:numId="19">
    <w:abstractNumId w:val="33"/>
  </w:num>
  <w:num w:numId="20">
    <w:abstractNumId w:val="28"/>
  </w:num>
  <w:num w:numId="21">
    <w:abstractNumId w:val="3"/>
  </w:num>
  <w:num w:numId="22">
    <w:abstractNumId w:val="4"/>
  </w:num>
  <w:num w:numId="23">
    <w:abstractNumId w:val="0"/>
  </w:num>
  <w:num w:numId="24">
    <w:abstractNumId w:val="2"/>
  </w:num>
  <w:num w:numId="25">
    <w:abstractNumId w:val="20"/>
  </w:num>
  <w:num w:numId="26">
    <w:abstractNumId w:val="39"/>
  </w:num>
  <w:num w:numId="27">
    <w:abstractNumId w:val="27"/>
  </w:num>
  <w:num w:numId="28">
    <w:abstractNumId w:val="7"/>
  </w:num>
  <w:num w:numId="29">
    <w:abstractNumId w:val="12"/>
  </w:num>
  <w:num w:numId="30">
    <w:abstractNumId w:val="14"/>
  </w:num>
  <w:num w:numId="31">
    <w:abstractNumId w:val="10"/>
  </w:num>
  <w:num w:numId="32">
    <w:abstractNumId w:val="8"/>
  </w:num>
  <w:num w:numId="33">
    <w:abstractNumId w:val="31"/>
  </w:num>
  <w:num w:numId="34">
    <w:abstractNumId w:val="34"/>
  </w:num>
  <w:num w:numId="35">
    <w:abstractNumId w:val="5"/>
  </w:num>
  <w:num w:numId="36">
    <w:abstractNumId w:val="13"/>
  </w:num>
  <w:num w:numId="37">
    <w:abstractNumId w:val="11"/>
  </w:num>
  <w:num w:numId="38">
    <w:abstractNumId w:val="18"/>
  </w:num>
  <w:num w:numId="39">
    <w:abstractNumId w:val="47"/>
  </w:num>
  <w:num w:numId="40">
    <w:abstractNumId w:val="26"/>
  </w:num>
  <w:num w:numId="41">
    <w:abstractNumId w:val="38"/>
  </w:num>
  <w:num w:numId="42">
    <w:abstractNumId w:val="41"/>
  </w:num>
  <w:num w:numId="43">
    <w:abstractNumId w:val="16"/>
  </w:num>
  <w:num w:numId="44">
    <w:abstractNumId w:val="35"/>
  </w:num>
  <w:num w:numId="45">
    <w:abstractNumId w:val="43"/>
  </w:num>
  <w:num w:numId="46">
    <w:abstractNumId w:val="25"/>
  </w:num>
  <w:num w:numId="47">
    <w:abstractNumId w:val="29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10242"/>
    <w:rsid w:val="00012AA4"/>
    <w:rsid w:val="000150D0"/>
    <w:rsid w:val="00016A03"/>
    <w:rsid w:val="00020FD5"/>
    <w:rsid w:val="0002698C"/>
    <w:rsid w:val="00033EC7"/>
    <w:rsid w:val="00042911"/>
    <w:rsid w:val="00045C16"/>
    <w:rsid w:val="00060682"/>
    <w:rsid w:val="000623A4"/>
    <w:rsid w:val="00066BDA"/>
    <w:rsid w:val="00074C0C"/>
    <w:rsid w:val="00075EFB"/>
    <w:rsid w:val="00080BE8"/>
    <w:rsid w:val="000826F4"/>
    <w:rsid w:val="00085356"/>
    <w:rsid w:val="000A4AD6"/>
    <w:rsid w:val="000C7C2C"/>
    <w:rsid w:val="000D0B82"/>
    <w:rsid w:val="000D1D80"/>
    <w:rsid w:val="000D4210"/>
    <w:rsid w:val="000D44AA"/>
    <w:rsid w:val="000D6309"/>
    <w:rsid w:val="000E5899"/>
    <w:rsid w:val="001118DB"/>
    <w:rsid w:val="00125B31"/>
    <w:rsid w:val="00131148"/>
    <w:rsid w:val="00135AFE"/>
    <w:rsid w:val="00144262"/>
    <w:rsid w:val="00150B3D"/>
    <w:rsid w:val="00165BF5"/>
    <w:rsid w:val="00191900"/>
    <w:rsid w:val="00193FE2"/>
    <w:rsid w:val="00195995"/>
    <w:rsid w:val="001C5BD0"/>
    <w:rsid w:val="001E70DE"/>
    <w:rsid w:val="001F0C6E"/>
    <w:rsid w:val="0020484F"/>
    <w:rsid w:val="00217BAA"/>
    <w:rsid w:val="00221668"/>
    <w:rsid w:val="00224C79"/>
    <w:rsid w:val="002376ED"/>
    <w:rsid w:val="00250A4A"/>
    <w:rsid w:val="0026474D"/>
    <w:rsid w:val="00277E40"/>
    <w:rsid w:val="00284D96"/>
    <w:rsid w:val="002A5DA8"/>
    <w:rsid w:val="002B3767"/>
    <w:rsid w:val="002B6D1C"/>
    <w:rsid w:val="002C0C1B"/>
    <w:rsid w:val="002D59C3"/>
    <w:rsid w:val="002E084B"/>
    <w:rsid w:val="002F30CD"/>
    <w:rsid w:val="00306126"/>
    <w:rsid w:val="00322856"/>
    <w:rsid w:val="00341052"/>
    <w:rsid w:val="00342F95"/>
    <w:rsid w:val="00344B5F"/>
    <w:rsid w:val="003632BE"/>
    <w:rsid w:val="003655EF"/>
    <w:rsid w:val="00382691"/>
    <w:rsid w:val="00395C05"/>
    <w:rsid w:val="003A2631"/>
    <w:rsid w:val="003C2067"/>
    <w:rsid w:val="003D19D9"/>
    <w:rsid w:val="003D3F02"/>
    <w:rsid w:val="003D6A94"/>
    <w:rsid w:val="003D7F61"/>
    <w:rsid w:val="003F2A78"/>
    <w:rsid w:val="0040559E"/>
    <w:rsid w:val="00414EEB"/>
    <w:rsid w:val="004179D2"/>
    <w:rsid w:val="004235D9"/>
    <w:rsid w:val="00426AB4"/>
    <w:rsid w:val="004427B0"/>
    <w:rsid w:val="0044320D"/>
    <w:rsid w:val="00447A3E"/>
    <w:rsid w:val="00447EDC"/>
    <w:rsid w:val="00450913"/>
    <w:rsid w:val="00451961"/>
    <w:rsid w:val="004A31BF"/>
    <w:rsid w:val="004A784E"/>
    <w:rsid w:val="004B4573"/>
    <w:rsid w:val="004C36BA"/>
    <w:rsid w:val="004C69AE"/>
    <w:rsid w:val="004D0467"/>
    <w:rsid w:val="004D519C"/>
    <w:rsid w:val="004E4C7A"/>
    <w:rsid w:val="004E5324"/>
    <w:rsid w:val="004F3269"/>
    <w:rsid w:val="00507B30"/>
    <w:rsid w:val="00510A12"/>
    <w:rsid w:val="005168BC"/>
    <w:rsid w:val="005236C5"/>
    <w:rsid w:val="005240F4"/>
    <w:rsid w:val="00532FFC"/>
    <w:rsid w:val="00533BAF"/>
    <w:rsid w:val="0053738A"/>
    <w:rsid w:val="00552A8E"/>
    <w:rsid w:val="00563F42"/>
    <w:rsid w:val="00564F4E"/>
    <w:rsid w:val="00577FB5"/>
    <w:rsid w:val="005A145D"/>
    <w:rsid w:val="005C7D27"/>
    <w:rsid w:val="005D41A1"/>
    <w:rsid w:val="005D4343"/>
    <w:rsid w:val="005D77BE"/>
    <w:rsid w:val="005E5A41"/>
    <w:rsid w:val="005E69C1"/>
    <w:rsid w:val="005F4C5F"/>
    <w:rsid w:val="00607FEE"/>
    <w:rsid w:val="00610D9A"/>
    <w:rsid w:val="006132BA"/>
    <w:rsid w:val="006204FA"/>
    <w:rsid w:val="00636C2F"/>
    <w:rsid w:val="00651105"/>
    <w:rsid w:val="00684239"/>
    <w:rsid w:val="006A3B47"/>
    <w:rsid w:val="006A4E8F"/>
    <w:rsid w:val="006B3DAC"/>
    <w:rsid w:val="006C0F0F"/>
    <w:rsid w:val="006C5F30"/>
    <w:rsid w:val="006C66BF"/>
    <w:rsid w:val="006D0742"/>
    <w:rsid w:val="006D75C9"/>
    <w:rsid w:val="006E2017"/>
    <w:rsid w:val="0070746D"/>
    <w:rsid w:val="00717B3E"/>
    <w:rsid w:val="00724F20"/>
    <w:rsid w:val="00734C4A"/>
    <w:rsid w:val="007364EA"/>
    <w:rsid w:val="0073723C"/>
    <w:rsid w:val="007469C4"/>
    <w:rsid w:val="007475B1"/>
    <w:rsid w:val="00774DA1"/>
    <w:rsid w:val="00782140"/>
    <w:rsid w:val="0078249A"/>
    <w:rsid w:val="007B3D85"/>
    <w:rsid w:val="007B4706"/>
    <w:rsid w:val="007B5588"/>
    <w:rsid w:val="007D6ABA"/>
    <w:rsid w:val="007F3657"/>
    <w:rsid w:val="007F4249"/>
    <w:rsid w:val="00802C7B"/>
    <w:rsid w:val="00805DE6"/>
    <w:rsid w:val="00807C8B"/>
    <w:rsid w:val="00820B59"/>
    <w:rsid w:val="00823A2C"/>
    <w:rsid w:val="00825621"/>
    <w:rsid w:val="008319AE"/>
    <w:rsid w:val="0083319F"/>
    <w:rsid w:val="00834603"/>
    <w:rsid w:val="00836534"/>
    <w:rsid w:val="00837963"/>
    <w:rsid w:val="008754AF"/>
    <w:rsid w:val="00891632"/>
    <w:rsid w:val="008965EE"/>
    <w:rsid w:val="008A0474"/>
    <w:rsid w:val="008A66B5"/>
    <w:rsid w:val="008B39BD"/>
    <w:rsid w:val="008B6FE4"/>
    <w:rsid w:val="008D4C2B"/>
    <w:rsid w:val="008D7E9E"/>
    <w:rsid w:val="009127F1"/>
    <w:rsid w:val="0093067A"/>
    <w:rsid w:val="00955711"/>
    <w:rsid w:val="00957B95"/>
    <w:rsid w:val="009614DA"/>
    <w:rsid w:val="00966C49"/>
    <w:rsid w:val="00967A2F"/>
    <w:rsid w:val="0097319D"/>
    <w:rsid w:val="00985D99"/>
    <w:rsid w:val="009865EE"/>
    <w:rsid w:val="0099237C"/>
    <w:rsid w:val="009A1DB5"/>
    <w:rsid w:val="009B490B"/>
    <w:rsid w:val="009E4B07"/>
    <w:rsid w:val="009F683E"/>
    <w:rsid w:val="00A05E0B"/>
    <w:rsid w:val="00A15503"/>
    <w:rsid w:val="00A25584"/>
    <w:rsid w:val="00A347E5"/>
    <w:rsid w:val="00A4290B"/>
    <w:rsid w:val="00A613B0"/>
    <w:rsid w:val="00A64928"/>
    <w:rsid w:val="00A67B26"/>
    <w:rsid w:val="00A7411C"/>
    <w:rsid w:val="00A84108"/>
    <w:rsid w:val="00A96379"/>
    <w:rsid w:val="00A9752D"/>
    <w:rsid w:val="00AA11E5"/>
    <w:rsid w:val="00AA32DA"/>
    <w:rsid w:val="00AB70AF"/>
    <w:rsid w:val="00AC6A06"/>
    <w:rsid w:val="00AC7EBC"/>
    <w:rsid w:val="00AE6DE3"/>
    <w:rsid w:val="00B11743"/>
    <w:rsid w:val="00B211CA"/>
    <w:rsid w:val="00B42914"/>
    <w:rsid w:val="00B4409B"/>
    <w:rsid w:val="00B51BF9"/>
    <w:rsid w:val="00B567AF"/>
    <w:rsid w:val="00B85F62"/>
    <w:rsid w:val="00B90261"/>
    <w:rsid w:val="00BB47FC"/>
    <w:rsid w:val="00BE5D58"/>
    <w:rsid w:val="00BF3DDC"/>
    <w:rsid w:val="00C07E28"/>
    <w:rsid w:val="00C11DC7"/>
    <w:rsid w:val="00C169BD"/>
    <w:rsid w:val="00C16D13"/>
    <w:rsid w:val="00C2132D"/>
    <w:rsid w:val="00C226EC"/>
    <w:rsid w:val="00C3677A"/>
    <w:rsid w:val="00C402E9"/>
    <w:rsid w:val="00C426C4"/>
    <w:rsid w:val="00C539EE"/>
    <w:rsid w:val="00C56D28"/>
    <w:rsid w:val="00C601A0"/>
    <w:rsid w:val="00C630C4"/>
    <w:rsid w:val="00C656C4"/>
    <w:rsid w:val="00C6669A"/>
    <w:rsid w:val="00C666B0"/>
    <w:rsid w:val="00C753E3"/>
    <w:rsid w:val="00C777CE"/>
    <w:rsid w:val="00C904C0"/>
    <w:rsid w:val="00C93610"/>
    <w:rsid w:val="00CB2E69"/>
    <w:rsid w:val="00CC3478"/>
    <w:rsid w:val="00CD106A"/>
    <w:rsid w:val="00CF5819"/>
    <w:rsid w:val="00D10EC4"/>
    <w:rsid w:val="00D115B4"/>
    <w:rsid w:val="00D11BB3"/>
    <w:rsid w:val="00D11C6E"/>
    <w:rsid w:val="00D1211C"/>
    <w:rsid w:val="00D33F15"/>
    <w:rsid w:val="00D403F9"/>
    <w:rsid w:val="00D45B0D"/>
    <w:rsid w:val="00D46DD8"/>
    <w:rsid w:val="00D53749"/>
    <w:rsid w:val="00D92E06"/>
    <w:rsid w:val="00DB2C18"/>
    <w:rsid w:val="00DC303D"/>
    <w:rsid w:val="00DE10AD"/>
    <w:rsid w:val="00DE5D8C"/>
    <w:rsid w:val="00DF01A7"/>
    <w:rsid w:val="00E16F10"/>
    <w:rsid w:val="00E213D8"/>
    <w:rsid w:val="00E264B5"/>
    <w:rsid w:val="00E500CE"/>
    <w:rsid w:val="00E61AD3"/>
    <w:rsid w:val="00E66568"/>
    <w:rsid w:val="00E70FD3"/>
    <w:rsid w:val="00E81EF0"/>
    <w:rsid w:val="00EA71B3"/>
    <w:rsid w:val="00EB7C29"/>
    <w:rsid w:val="00F00D4E"/>
    <w:rsid w:val="00F06612"/>
    <w:rsid w:val="00F16048"/>
    <w:rsid w:val="00F25F57"/>
    <w:rsid w:val="00F325A9"/>
    <w:rsid w:val="00F402F1"/>
    <w:rsid w:val="00F45297"/>
    <w:rsid w:val="00F53299"/>
    <w:rsid w:val="00F64807"/>
    <w:rsid w:val="00F65F26"/>
    <w:rsid w:val="00F66B12"/>
    <w:rsid w:val="00F73A11"/>
    <w:rsid w:val="00F745E0"/>
    <w:rsid w:val="00F959F2"/>
    <w:rsid w:val="00FA3EDF"/>
    <w:rsid w:val="00FB1B8C"/>
    <w:rsid w:val="00FE05C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57E4-3AB1-4375-A901-E0B0BF5D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18</cp:revision>
  <cp:lastPrinted>2019-01-28T10:53:00Z</cp:lastPrinted>
  <dcterms:created xsi:type="dcterms:W3CDTF">2019-01-29T14:43:00Z</dcterms:created>
  <dcterms:modified xsi:type="dcterms:W3CDTF">2019-04-09T11:49:00Z</dcterms:modified>
</cp:coreProperties>
</file>